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0DF" w14:textId="75C22003" w:rsidR="007D7D0C" w:rsidRDefault="007D7D0C" w:rsidP="00C705DC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6B62B143" wp14:editId="0AE15769">
            <wp:extent cx="3614057" cy="902238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978"/>
                    <a:stretch/>
                  </pic:blipFill>
                  <pic:spPr bwMode="auto">
                    <a:xfrm>
                      <a:off x="0" y="0"/>
                      <a:ext cx="3641305" cy="9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562">
        <w:rPr>
          <w:noProof/>
        </w:rPr>
        <w:drawing>
          <wp:inline distT="0" distB="0" distL="0" distR="0" wp14:anchorId="33530B80" wp14:editId="6F9363AE">
            <wp:extent cx="1866900" cy="103759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87A6" w14:textId="77777777" w:rsidR="007D7D0C" w:rsidRDefault="007D7D0C" w:rsidP="008D584F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</w:p>
    <w:p w14:paraId="3935EEDE" w14:textId="77777777" w:rsidR="00A03747" w:rsidRPr="00E02CAC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</w:rPr>
      </w:pPr>
      <w:r w:rsidRPr="00E02CAC">
        <w:rPr>
          <w:rFonts w:ascii="Open Sans" w:hAnsi="Open Sans" w:cs="Open Sans"/>
          <w:b/>
          <w:bCs/>
        </w:rPr>
        <w:t>Essex Citizens Advice Macmillan Welfare Benefits Service</w:t>
      </w:r>
    </w:p>
    <w:p w14:paraId="65199190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  <w:r w:rsidRPr="00E02CAC">
        <w:rPr>
          <w:rFonts w:ascii="Open Sans" w:hAnsi="Open Sans" w:cs="Open Sans"/>
          <w:b/>
          <w:bCs/>
        </w:rPr>
        <w:t>Welfare Benefits Caseworker</w:t>
      </w:r>
    </w:p>
    <w:p w14:paraId="56262240" w14:textId="77777777" w:rsidR="00E02CAC" w:rsidRDefault="00E02CAC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20F23621" w14:textId="7143EE9E" w:rsidR="00A03747" w:rsidRPr="00E02CAC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  <w:r w:rsidRPr="009D53DD">
        <w:rPr>
          <w:rFonts w:ascii="Open Sans" w:hAnsi="Open Sans" w:cs="Open Sans"/>
          <w:b/>
          <w:bCs/>
          <w:sz w:val="20"/>
          <w:szCs w:val="20"/>
        </w:rPr>
        <w:t xml:space="preserve">Salary: 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7D7D0C">
        <w:rPr>
          <w:rFonts w:ascii="Open Sans" w:hAnsi="Open Sans" w:cs="Open Sans"/>
          <w:sz w:val="20"/>
          <w:szCs w:val="20"/>
        </w:rPr>
        <w:t xml:space="preserve">Circa £27,000 </w:t>
      </w:r>
      <w:r>
        <w:rPr>
          <w:rFonts w:ascii="Open Sans" w:hAnsi="Open Sans" w:cs="Open Sans"/>
          <w:sz w:val="20"/>
          <w:szCs w:val="20"/>
        </w:rPr>
        <w:t xml:space="preserve">gross per annum </w:t>
      </w:r>
      <w:r w:rsidRPr="009D53DD">
        <w:rPr>
          <w:rFonts w:ascii="Open Sans" w:hAnsi="Open Sans" w:cs="Open Sans"/>
          <w:sz w:val="20"/>
          <w:szCs w:val="20"/>
        </w:rPr>
        <w:t>(actual salary will be determined by employing Local Citizens Advice Office but is expected to be in this region</w:t>
      </w:r>
      <w:r>
        <w:rPr>
          <w:rFonts w:ascii="Open Sans" w:hAnsi="Open Sans" w:cs="Open Sans"/>
          <w:sz w:val="20"/>
          <w:szCs w:val="20"/>
        </w:rPr>
        <w:t>)</w:t>
      </w:r>
    </w:p>
    <w:p w14:paraId="07134A49" w14:textId="706EDD11" w:rsidR="00A03747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As part of our commitment to being a flexible employer, applications are welcomed from candidates who can offer </w:t>
      </w:r>
      <w:r>
        <w:rPr>
          <w:rFonts w:ascii="Open Sans" w:hAnsi="Open Sans" w:cs="Open Sans"/>
          <w:sz w:val="20"/>
          <w:szCs w:val="20"/>
        </w:rPr>
        <w:t xml:space="preserve">either full time </w:t>
      </w:r>
      <w:r w:rsidRPr="009D53DD">
        <w:rPr>
          <w:rFonts w:ascii="Open Sans" w:hAnsi="Open Sans" w:cs="Open Sans"/>
          <w:sz w:val="20"/>
          <w:szCs w:val="20"/>
        </w:rPr>
        <w:t xml:space="preserve">37 hours a week </w:t>
      </w:r>
      <w:r>
        <w:rPr>
          <w:rFonts w:ascii="Open Sans" w:hAnsi="Open Sans" w:cs="Open Sans"/>
          <w:sz w:val="20"/>
          <w:szCs w:val="20"/>
        </w:rPr>
        <w:t>or</w:t>
      </w:r>
      <w:r w:rsidRPr="009D53D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part time with a minimum of </w:t>
      </w:r>
      <w:r w:rsidRPr="009D53DD">
        <w:rPr>
          <w:rFonts w:ascii="Open Sans" w:hAnsi="Open Sans" w:cs="Open Sans"/>
          <w:sz w:val="20"/>
          <w:szCs w:val="20"/>
        </w:rPr>
        <w:t>18.5</w:t>
      </w:r>
      <w:r>
        <w:rPr>
          <w:rFonts w:ascii="Open Sans" w:hAnsi="Open Sans" w:cs="Open Sans"/>
          <w:sz w:val="20"/>
          <w:szCs w:val="20"/>
        </w:rPr>
        <w:t xml:space="preserve"> hours</w:t>
      </w:r>
      <w:r w:rsidRPr="009D53DD">
        <w:rPr>
          <w:rFonts w:ascii="Open Sans" w:hAnsi="Open Sans" w:cs="Open Sans"/>
          <w:sz w:val="20"/>
          <w:szCs w:val="20"/>
        </w:rPr>
        <w:t xml:space="preserve"> may be available – please state on your application form your preference.</w:t>
      </w:r>
    </w:p>
    <w:p w14:paraId="6823BAA0" w14:textId="1616ADDD" w:rsidR="002310D2" w:rsidRPr="009D53DD" w:rsidRDefault="002310D2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Whilst employed by </w:t>
      </w:r>
      <w:r>
        <w:rPr>
          <w:rFonts w:ascii="Open Sans" w:hAnsi="Open Sans" w:cs="Open Sans"/>
          <w:sz w:val="20"/>
          <w:szCs w:val="20"/>
        </w:rPr>
        <w:t xml:space="preserve">Uttlesford </w:t>
      </w:r>
      <w:r w:rsidRPr="009D53DD">
        <w:rPr>
          <w:rFonts w:ascii="Open Sans" w:hAnsi="Open Sans" w:cs="Open Sans"/>
          <w:sz w:val="20"/>
          <w:szCs w:val="20"/>
        </w:rPr>
        <w:t>Citizen Advice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9D53DD">
        <w:rPr>
          <w:rFonts w:ascii="Open Sans" w:hAnsi="Open Sans" w:cs="Open Sans"/>
          <w:sz w:val="20"/>
          <w:szCs w:val="20"/>
        </w:rPr>
        <w:t>post holders will be part of the wider team of Macmillan funded caseworkers.</w:t>
      </w:r>
    </w:p>
    <w:p w14:paraId="0A159223" w14:textId="1B3C404C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b/>
          <w:bCs/>
          <w:sz w:val="20"/>
          <w:szCs w:val="20"/>
        </w:rPr>
        <w:t>Responsible to:</w:t>
      </w:r>
      <w:r w:rsidRPr="009D53DD">
        <w:rPr>
          <w:rFonts w:ascii="Open Sans" w:hAnsi="Open Sans" w:cs="Open Sans"/>
          <w:sz w:val="20"/>
          <w:szCs w:val="20"/>
        </w:rPr>
        <w:t xml:space="preserve"> </w:t>
      </w:r>
      <w:r w:rsidR="002310D2">
        <w:rPr>
          <w:rFonts w:ascii="Open Sans" w:hAnsi="Open Sans" w:cs="Open Sans"/>
          <w:sz w:val="20"/>
          <w:szCs w:val="20"/>
        </w:rPr>
        <w:t>CEO, Uttlesford Citizens Advice</w:t>
      </w:r>
    </w:p>
    <w:p w14:paraId="7894045B" w14:textId="3AD09EF4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b/>
          <w:bCs/>
          <w:sz w:val="20"/>
          <w:szCs w:val="20"/>
        </w:rPr>
        <w:t>Location</w:t>
      </w:r>
      <w:r w:rsidRPr="009D53DD">
        <w:rPr>
          <w:rFonts w:ascii="Open Sans" w:hAnsi="Open Sans" w:cs="Open Sans"/>
          <w:sz w:val="20"/>
          <w:szCs w:val="20"/>
        </w:rPr>
        <w:t>: “Place of Work” will be defined as the HQ of the employing L</w:t>
      </w:r>
      <w:r>
        <w:rPr>
          <w:rFonts w:ascii="Open Sans" w:hAnsi="Open Sans" w:cs="Open Sans"/>
          <w:sz w:val="20"/>
          <w:szCs w:val="20"/>
        </w:rPr>
        <w:t xml:space="preserve">ocal Citizens </w:t>
      </w:r>
      <w:proofErr w:type="gramStart"/>
      <w:r>
        <w:rPr>
          <w:rFonts w:ascii="Open Sans" w:hAnsi="Open Sans" w:cs="Open Sans"/>
          <w:sz w:val="20"/>
          <w:szCs w:val="20"/>
        </w:rPr>
        <w:t xml:space="preserve">Advice </w:t>
      </w:r>
      <w:r w:rsidRPr="009D53DD">
        <w:rPr>
          <w:rFonts w:ascii="Open Sans" w:hAnsi="Open Sans" w:cs="Open Sans"/>
          <w:sz w:val="20"/>
          <w:szCs w:val="20"/>
        </w:rPr>
        <w:t xml:space="preserve"> –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a mixed model of home/office working is expected to apply.</w:t>
      </w:r>
      <w:r w:rsidR="002310D2">
        <w:rPr>
          <w:rFonts w:ascii="Open Sans" w:hAnsi="Open Sans" w:cs="Open Sans"/>
          <w:sz w:val="20"/>
          <w:szCs w:val="20"/>
        </w:rPr>
        <w:t xml:space="preserve"> </w:t>
      </w:r>
    </w:p>
    <w:p w14:paraId="61780760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b/>
          <w:bCs/>
          <w:sz w:val="20"/>
          <w:szCs w:val="20"/>
        </w:rPr>
        <w:t>Travel:</w:t>
      </w:r>
      <w:r w:rsidRPr="009D53DD">
        <w:rPr>
          <w:rFonts w:ascii="Open Sans" w:hAnsi="Open Sans" w:cs="Open Sans"/>
          <w:sz w:val="20"/>
          <w:szCs w:val="20"/>
        </w:rPr>
        <w:t xml:space="preserve"> Subject to local travel expenses policies, postholders will be expected to undertake home visits and provide services in hospitals or other health settings.</w:t>
      </w:r>
    </w:p>
    <w:p w14:paraId="54BFD281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b/>
          <w:bCs/>
          <w:sz w:val="20"/>
          <w:szCs w:val="20"/>
        </w:rPr>
        <w:t>Job Description</w:t>
      </w:r>
      <w:r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9D53DD">
        <w:rPr>
          <w:rFonts w:ascii="Open Sans" w:hAnsi="Open Sans" w:cs="Open Sans"/>
          <w:sz w:val="20"/>
          <w:szCs w:val="20"/>
        </w:rPr>
        <w:t xml:space="preserve">This post is to support the start-up, </w:t>
      </w:r>
      <w:proofErr w:type="gramStart"/>
      <w:r w:rsidRPr="009D53DD">
        <w:rPr>
          <w:rFonts w:ascii="Open Sans" w:hAnsi="Open Sans" w:cs="Open Sans"/>
          <w:sz w:val="20"/>
          <w:szCs w:val="20"/>
        </w:rPr>
        <w:t>development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and delivery of a new pan county service (also covering Southend and Thurrock) to provide intensive, expert, welfare benefit advice and casework to clients diagnosed with cancer and their immediate families.  </w:t>
      </w:r>
      <w:r>
        <w:rPr>
          <w:rFonts w:ascii="Open Sans" w:hAnsi="Open Sans" w:cs="Open Sans"/>
          <w:sz w:val="20"/>
          <w:szCs w:val="20"/>
        </w:rPr>
        <w:t>Posts are funded by Macmillan Cancer Support until at least March 2025.</w:t>
      </w:r>
    </w:p>
    <w:p w14:paraId="63363237" w14:textId="77777777" w:rsidR="00E02CAC" w:rsidRDefault="00E02CAC" w:rsidP="00E02CAC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0144C2BF" w14:textId="31314DE2" w:rsidR="00E02CAC" w:rsidRDefault="00E02CAC" w:rsidP="00E02CAC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For further information please contact:</w:t>
      </w:r>
    </w:p>
    <w:p w14:paraId="45EFC884" w14:textId="77777777" w:rsidR="00E02CAC" w:rsidRDefault="00E02CAC" w:rsidP="00E02CAC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  <w:t>Kate Robson</w:t>
      </w:r>
    </w:p>
    <w:p w14:paraId="1AEC5376" w14:textId="77777777" w:rsidR="00E02CAC" w:rsidRDefault="00E02CAC" w:rsidP="00E02CAC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  <w:t>CEO, Uttlesford Citizens Advice</w:t>
      </w:r>
    </w:p>
    <w:p w14:paraId="774A9D32" w14:textId="77777777" w:rsidR="00E02CAC" w:rsidRDefault="00E02CAC" w:rsidP="00E02CAC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</w:pPr>
    </w:p>
    <w:p w14:paraId="047D8460" w14:textId="77777777" w:rsidR="00E02CAC" w:rsidRDefault="00E02CAC" w:rsidP="00E02CAC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</w:pPr>
      <w:hyperlink r:id="rId7" w:history="1">
        <w:r w:rsidRPr="00101A32">
          <w:rPr>
            <w:rStyle w:val="Hyperlink"/>
            <w:rFonts w:ascii="Open Sans" w:eastAsia="Times New Roman" w:hAnsi="Open Sans" w:cs="Open Sans"/>
            <w:sz w:val="20"/>
            <w:szCs w:val="20"/>
            <w:lang w:eastAsia="en-GB"/>
          </w:rPr>
          <w:t>manager@uttlesfordca.org.uk</w:t>
        </w:r>
      </w:hyperlink>
    </w:p>
    <w:p w14:paraId="5E4BF811" w14:textId="77777777" w:rsidR="00E02CAC" w:rsidRPr="00ED56A5" w:rsidRDefault="00E02CAC" w:rsidP="00E02CAC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E101A"/>
          <w:sz w:val="20"/>
          <w:szCs w:val="20"/>
          <w:lang w:eastAsia="en-GB"/>
        </w:rPr>
        <w:t>01799 526557</w:t>
      </w:r>
    </w:p>
    <w:p w14:paraId="5DFB7687" w14:textId="77777777" w:rsidR="00A03747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630FDD27" w14:textId="77777777" w:rsidR="00E02CAC" w:rsidRDefault="00E02CAC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12FF06D1" w14:textId="4B85B224" w:rsidR="00A03747" w:rsidRPr="00AA6E99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  <w:r w:rsidRPr="00AA6E99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Main Duties and Responsibilities: </w:t>
      </w:r>
    </w:p>
    <w:p w14:paraId="5CB5375F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1. Advice and casework </w:t>
      </w:r>
    </w:p>
    <w:p w14:paraId="2F1A213D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Provide a full casework service in welfare benefits with a particular responsibility for supporting people affected by cancer. </w:t>
      </w:r>
    </w:p>
    <w:p w14:paraId="1879DFF4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Deliver the service by a range of methods as required including telephone/digital channels, appointments, outreach work and home visits. </w:t>
      </w:r>
    </w:p>
    <w:p w14:paraId="16914F5D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Act for clients where necessary by calculating entitlement, completing forms, negotiating with third parties, </w:t>
      </w:r>
      <w:proofErr w:type="gramStart"/>
      <w:r w:rsidRPr="009D53DD">
        <w:rPr>
          <w:rFonts w:ascii="Open Sans" w:hAnsi="Open Sans" w:cs="Open Sans"/>
          <w:sz w:val="20"/>
          <w:szCs w:val="20"/>
        </w:rPr>
        <w:t>drafting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or writing letters as appropriate. </w:t>
      </w:r>
    </w:p>
    <w:p w14:paraId="5F9E4D58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Assist clients with other related problems particularly employment, </w:t>
      </w:r>
      <w:proofErr w:type="gramStart"/>
      <w:r w:rsidRPr="009D53DD">
        <w:rPr>
          <w:rFonts w:ascii="Open Sans" w:hAnsi="Open Sans" w:cs="Open Sans"/>
          <w:sz w:val="20"/>
          <w:szCs w:val="20"/>
        </w:rPr>
        <w:t>housing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and debt related issues where they are an integral part of the case. </w:t>
      </w:r>
    </w:p>
    <w:p w14:paraId="570A0966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Refer to other advisers as appropriate.</w:t>
      </w:r>
    </w:p>
    <w:p w14:paraId="3717857E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Prepare and present cases to statutory bodies, tribunals and courts as required.</w:t>
      </w:r>
    </w:p>
    <w:p w14:paraId="1C68FAC8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Contribute to a rota (drawn from the wider Macmillan Welfare Benefits advice team) for the provision of telephone advice and support on a countywide based. </w:t>
      </w:r>
    </w:p>
    <w:p w14:paraId="0269937E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Maintain standards of service delivery and ensure that </w:t>
      </w:r>
      <w:r>
        <w:rPr>
          <w:rFonts w:ascii="Open Sans" w:hAnsi="Open Sans" w:cs="Open Sans"/>
          <w:sz w:val="20"/>
          <w:szCs w:val="20"/>
        </w:rPr>
        <w:t xml:space="preserve">all advice and </w:t>
      </w:r>
      <w:r w:rsidRPr="009D53DD">
        <w:rPr>
          <w:rFonts w:ascii="Open Sans" w:hAnsi="Open Sans" w:cs="Open Sans"/>
          <w:sz w:val="20"/>
          <w:szCs w:val="20"/>
        </w:rPr>
        <w:t xml:space="preserve">casework </w:t>
      </w:r>
      <w:proofErr w:type="gramStart"/>
      <w:r w:rsidRPr="009D53DD">
        <w:rPr>
          <w:rFonts w:ascii="Open Sans" w:hAnsi="Open Sans" w:cs="Open Sans"/>
          <w:sz w:val="20"/>
          <w:szCs w:val="20"/>
        </w:rPr>
        <w:t>conforms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to the Citizens Advice membership requirements and the Advice Quality Standard. </w:t>
      </w:r>
    </w:p>
    <w:p w14:paraId="274BEB2B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Maintain case records for the purpose of continuity of casework, information retrieval, statistical monitoring, report preparation and quality checking. </w:t>
      </w:r>
    </w:p>
    <w:p w14:paraId="2689926A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Ensure that all work conforms to the organisation's systems, </w:t>
      </w:r>
      <w:proofErr w:type="gramStart"/>
      <w:r w:rsidRPr="009D53DD">
        <w:rPr>
          <w:rFonts w:ascii="Open Sans" w:hAnsi="Open Sans" w:cs="Open Sans"/>
          <w:sz w:val="20"/>
          <w:szCs w:val="20"/>
        </w:rPr>
        <w:t>policies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and procedures.</w:t>
      </w:r>
    </w:p>
    <w:p w14:paraId="06C2A30F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Comply with the systems for monitoring and reporting on client satisfaction and the outcomes of advice. </w:t>
      </w:r>
    </w:p>
    <w:p w14:paraId="73F632EA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Work in partnership with colleagues to ensure that the service meets key performance indicators and/or targets agreed with funders. </w:t>
      </w:r>
    </w:p>
    <w:p w14:paraId="470C2B40" w14:textId="77777777" w:rsidR="00A03747" w:rsidRPr="009D53DD" w:rsidRDefault="00A03747" w:rsidP="00A03747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Assist in the smooth running of the wider countywide team and the host organisation.</w:t>
      </w:r>
    </w:p>
    <w:p w14:paraId="38E413FC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 </w:t>
      </w:r>
    </w:p>
    <w:p w14:paraId="20DF8D4E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2. Research and campaigns </w:t>
      </w:r>
    </w:p>
    <w:p w14:paraId="3B3CAC3F" w14:textId="77777777" w:rsidR="00A03747" w:rsidRPr="009D53DD" w:rsidRDefault="00A03747" w:rsidP="00A03747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Keep up to date with current research and campaigns issues.</w:t>
      </w:r>
    </w:p>
    <w:p w14:paraId="21A8CE98" w14:textId="77777777" w:rsidR="00A03747" w:rsidRPr="009D53DD" w:rsidRDefault="00A03747" w:rsidP="00A03747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Participate in research and campaigns activity by providing information about clients' circumstances and </w:t>
      </w:r>
      <w:proofErr w:type="gramStart"/>
      <w:r w:rsidRPr="009D53DD">
        <w:rPr>
          <w:rFonts w:ascii="Open Sans" w:hAnsi="Open Sans" w:cs="Open Sans"/>
          <w:sz w:val="20"/>
          <w:szCs w:val="20"/>
        </w:rPr>
        <w:t>taking action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on behalf of clients. </w:t>
      </w:r>
    </w:p>
    <w:p w14:paraId="640A71A9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3. Learning and development </w:t>
      </w:r>
    </w:p>
    <w:p w14:paraId="7FB7556E" w14:textId="77777777" w:rsidR="00A03747" w:rsidRPr="009D53DD" w:rsidRDefault="00A03747" w:rsidP="00A03747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Provide mentoring and support to staff and volunteers delivering welfare benefits advice and undertaking form filling to increase knowledge and develop capacity. </w:t>
      </w:r>
    </w:p>
    <w:p w14:paraId="37555286" w14:textId="77777777" w:rsidR="00A03747" w:rsidRPr="009D53DD" w:rsidRDefault="00A03747" w:rsidP="00A03747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Read relevant publications to maintain knowledge and expertise </w:t>
      </w:r>
    </w:p>
    <w:p w14:paraId="5F4BB85E" w14:textId="77777777" w:rsidR="00A03747" w:rsidRPr="009D53DD" w:rsidRDefault="00A03747" w:rsidP="00A03747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Keep up to date with legislation, case law, policies and procedures and undertake training appropriate to the role. </w:t>
      </w:r>
    </w:p>
    <w:p w14:paraId="76ECD83E" w14:textId="77777777" w:rsidR="00A03747" w:rsidRDefault="00A03747" w:rsidP="00A03747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Identify own learning and development needs and undertake training appropriate to the role</w:t>
      </w:r>
      <w:r>
        <w:rPr>
          <w:rFonts w:ascii="Open Sans" w:hAnsi="Open Sans" w:cs="Open Sans"/>
          <w:sz w:val="20"/>
          <w:szCs w:val="20"/>
        </w:rPr>
        <w:t xml:space="preserve"> and training required by the funder.</w:t>
      </w:r>
    </w:p>
    <w:p w14:paraId="25D61DDE" w14:textId="77777777" w:rsidR="00A03747" w:rsidRPr="009D53DD" w:rsidRDefault="00A03747" w:rsidP="00A03747">
      <w:p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4. Other duties </w:t>
      </w:r>
    </w:p>
    <w:p w14:paraId="2244A77D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Uphold the aims, policies and membership requirements of the Citizens Advice service and demonstrate a strong commitment to equality and diversity principles.</w:t>
      </w:r>
    </w:p>
    <w:p w14:paraId="3EDA3815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Work cooperatively with colleagues to encourage good teamwork across the organisation.</w:t>
      </w:r>
    </w:p>
    <w:p w14:paraId="54A65704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lastRenderedPageBreak/>
        <w:t xml:space="preserve">Develop and maintain links with statutory and non-statutory agencies and promote the work of the organisation in a positive and constructive way. </w:t>
      </w:r>
    </w:p>
    <w:p w14:paraId="0C65290C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Prepare for and attend relevant supervision sessions / staff meetings / trustee board meetings as required. </w:t>
      </w:r>
    </w:p>
    <w:p w14:paraId="1FE456C0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Comply with all monitoring and reporting requirements and provide progress reports for managers, the trustee board, Citizens </w:t>
      </w:r>
      <w:proofErr w:type="gramStart"/>
      <w:r w:rsidRPr="009D53DD">
        <w:rPr>
          <w:rFonts w:ascii="Open Sans" w:hAnsi="Open Sans" w:cs="Open Sans"/>
          <w:sz w:val="20"/>
          <w:szCs w:val="20"/>
        </w:rPr>
        <w:t>Advice</w:t>
      </w:r>
      <w:proofErr w:type="gramEnd"/>
      <w:r w:rsidRPr="009D53DD">
        <w:rPr>
          <w:rFonts w:ascii="Open Sans" w:hAnsi="Open Sans" w:cs="Open Sans"/>
          <w:sz w:val="20"/>
          <w:szCs w:val="20"/>
        </w:rPr>
        <w:t xml:space="preserve"> and funders as required. </w:t>
      </w:r>
    </w:p>
    <w:p w14:paraId="15E0CFBB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Adhere to the organisation’s information assurance policies and procedures and report any breaches or incidents of non-compliance. </w:t>
      </w:r>
    </w:p>
    <w:p w14:paraId="6C8DF373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Abide by health and safety guidelines and share responsibility for own safety and that of colleagues.</w:t>
      </w:r>
    </w:p>
    <w:p w14:paraId="1CC17DAA" w14:textId="77777777" w:rsidR="00A03747" w:rsidRPr="009D53DD" w:rsidRDefault="00A03747" w:rsidP="00A03747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Undertake any other duties that are consistent with the level of the post and ensure the effective delivery and development of the organisation’s services</w:t>
      </w:r>
    </w:p>
    <w:p w14:paraId="45FE920A" w14:textId="77777777" w:rsidR="00A03747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523554B6" w14:textId="754C8A0A" w:rsidR="00A03747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1458A98E" w14:textId="286D733F" w:rsidR="00A03747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p w14:paraId="62FFA41B" w14:textId="77777777" w:rsidR="00A03747" w:rsidRDefault="00A03747" w:rsidP="00A03747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  <w:r w:rsidRPr="00AA6E99">
        <w:rPr>
          <w:rFonts w:ascii="Open Sans" w:hAnsi="Open Sans" w:cs="Open Sans"/>
          <w:b/>
          <w:bCs/>
          <w:sz w:val="20"/>
          <w:szCs w:val="20"/>
        </w:rPr>
        <w:t xml:space="preserve">Person Specification </w:t>
      </w:r>
    </w:p>
    <w:p w14:paraId="04477F6C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1. </w:t>
      </w:r>
      <w:r w:rsidRPr="009D53DD">
        <w:rPr>
          <w:rFonts w:ascii="Open Sans" w:hAnsi="Open Sans" w:cs="Open Sans"/>
          <w:sz w:val="20"/>
          <w:szCs w:val="20"/>
        </w:rPr>
        <w:tab/>
        <w:t xml:space="preserve">An understanding of and commitment to the aims, principles and policies of the Citizens Advice service including a strong commitment to equality and diversity. </w:t>
      </w:r>
    </w:p>
    <w:p w14:paraId="45EFFD05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2. </w:t>
      </w:r>
      <w:r w:rsidRPr="009D53DD">
        <w:rPr>
          <w:rFonts w:ascii="Open Sans" w:hAnsi="Open Sans" w:cs="Open Sans"/>
          <w:sz w:val="20"/>
          <w:szCs w:val="20"/>
        </w:rPr>
        <w:tab/>
        <w:t xml:space="preserve">The Citizens Advice Certificate in Generalist Advice or an ability and willingness to achieve this qualification. </w:t>
      </w:r>
    </w:p>
    <w:p w14:paraId="22CA77CB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3. </w:t>
      </w:r>
      <w:r w:rsidRPr="009D53DD">
        <w:rPr>
          <w:rFonts w:ascii="Open Sans" w:hAnsi="Open Sans" w:cs="Open Sans"/>
          <w:sz w:val="20"/>
          <w:szCs w:val="20"/>
        </w:rPr>
        <w:tab/>
        <w:t>Testable knowledge of Welfare Benefits, with a focus on those affected by cancer, ideally obtained within a not-for-profit advice setting.</w:t>
      </w:r>
    </w:p>
    <w:p w14:paraId="4C626B74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4. </w:t>
      </w:r>
      <w:r w:rsidRPr="009D53DD">
        <w:rPr>
          <w:rFonts w:ascii="Open Sans" w:hAnsi="Open Sans" w:cs="Open Sans"/>
          <w:sz w:val="20"/>
          <w:szCs w:val="20"/>
        </w:rPr>
        <w:tab/>
        <w:t xml:space="preserve">Recent experience of providing outcomes driven welfare benefits casework to the Advice Quality Standard or the ability and willingness to undergo intensive training to provide this. </w:t>
      </w:r>
    </w:p>
    <w:p w14:paraId="76C130A2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 xml:space="preserve">5. </w:t>
      </w:r>
      <w:r w:rsidRPr="009D53DD">
        <w:rPr>
          <w:rFonts w:ascii="Open Sans" w:hAnsi="Open Sans" w:cs="Open Sans"/>
          <w:sz w:val="20"/>
          <w:szCs w:val="20"/>
        </w:rPr>
        <w:tab/>
        <w:t>A good understanding of the skills and techniques used in interviewing clients through a range of channels including telephone, digital and face-to-face.</w:t>
      </w:r>
    </w:p>
    <w:p w14:paraId="6C739B7A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6.</w:t>
      </w:r>
      <w:r w:rsidRPr="009D53DD">
        <w:rPr>
          <w:rFonts w:ascii="Open Sans" w:hAnsi="Open Sans" w:cs="Open Sans"/>
          <w:sz w:val="20"/>
          <w:szCs w:val="20"/>
        </w:rPr>
        <w:tab/>
        <w:t>The emotional resilience necessary to work empathetically and professionally to support people affected by cancer.</w:t>
      </w:r>
    </w:p>
    <w:p w14:paraId="2A20956D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7.</w:t>
      </w:r>
      <w:r w:rsidRPr="009D53DD">
        <w:rPr>
          <w:rFonts w:ascii="Open Sans" w:hAnsi="Open Sans" w:cs="Open Sans"/>
          <w:sz w:val="20"/>
          <w:szCs w:val="20"/>
        </w:rPr>
        <w:tab/>
        <w:t xml:space="preserve">The ability to monitor and maintain own standards, prioritise work and meet deadlines and targets. </w:t>
      </w:r>
    </w:p>
    <w:p w14:paraId="3F11450C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8.</w:t>
      </w:r>
      <w:r w:rsidRPr="009D53DD">
        <w:rPr>
          <w:rFonts w:ascii="Open Sans" w:hAnsi="Open Sans" w:cs="Open Sans"/>
          <w:sz w:val="20"/>
          <w:szCs w:val="20"/>
        </w:rPr>
        <w:tab/>
        <w:t xml:space="preserve">An organised approach to work and the ability and willingness to follow set procedures concerning casework and file management. </w:t>
      </w:r>
    </w:p>
    <w:p w14:paraId="1492BE05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9.</w:t>
      </w:r>
      <w:r w:rsidRPr="009D53DD">
        <w:rPr>
          <w:rFonts w:ascii="Open Sans" w:hAnsi="Open Sans" w:cs="Open Sans"/>
          <w:sz w:val="20"/>
          <w:szCs w:val="20"/>
        </w:rPr>
        <w:tab/>
        <w:t xml:space="preserve">Good numeracy skills and the ability to check </w:t>
      </w:r>
      <w:r>
        <w:rPr>
          <w:rFonts w:ascii="Open Sans" w:hAnsi="Open Sans" w:cs="Open Sans"/>
          <w:sz w:val="20"/>
          <w:szCs w:val="20"/>
        </w:rPr>
        <w:t xml:space="preserve">benefit </w:t>
      </w:r>
      <w:r w:rsidRPr="009D53DD">
        <w:rPr>
          <w:rFonts w:ascii="Open Sans" w:hAnsi="Open Sans" w:cs="Open Sans"/>
          <w:sz w:val="20"/>
          <w:szCs w:val="20"/>
        </w:rPr>
        <w:t xml:space="preserve">calculations, prepare budgets and financial statements and understand statistics. </w:t>
      </w:r>
    </w:p>
    <w:p w14:paraId="5C90856E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10.</w:t>
      </w:r>
      <w:r w:rsidRPr="009D53DD">
        <w:rPr>
          <w:rFonts w:ascii="Open Sans" w:hAnsi="Open Sans" w:cs="Open Sans"/>
          <w:sz w:val="20"/>
          <w:szCs w:val="20"/>
        </w:rPr>
        <w:tab/>
        <w:t xml:space="preserve">The ability to analyse and interpret complex information and to communicate effectively in writing with particular emphasis on negotiation and representation skills and on preparing letters and reports. </w:t>
      </w:r>
    </w:p>
    <w:p w14:paraId="2F5BAEF8" w14:textId="77777777" w:rsidR="00A03747" w:rsidRPr="009D53DD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lastRenderedPageBreak/>
        <w:t>10</w:t>
      </w:r>
      <w:r w:rsidRPr="009D53DD">
        <w:rPr>
          <w:rFonts w:ascii="Open Sans" w:hAnsi="Open Sans" w:cs="Open Sans"/>
          <w:sz w:val="20"/>
          <w:szCs w:val="20"/>
        </w:rPr>
        <w:tab/>
        <w:t>Good oral communication skills and the ability to communicate well with a wide cross section of people including members of the public, statutory and non</w:t>
      </w:r>
      <w:r>
        <w:rPr>
          <w:rFonts w:ascii="Open Sans" w:hAnsi="Open Sans" w:cs="Open Sans"/>
          <w:sz w:val="20"/>
          <w:szCs w:val="20"/>
        </w:rPr>
        <w:t>-</w:t>
      </w:r>
      <w:r w:rsidRPr="009D53DD">
        <w:rPr>
          <w:rFonts w:ascii="Open Sans" w:hAnsi="Open Sans" w:cs="Open Sans"/>
          <w:sz w:val="20"/>
          <w:szCs w:val="20"/>
        </w:rPr>
        <w:t xml:space="preserve">statutory agencies. </w:t>
      </w:r>
    </w:p>
    <w:p w14:paraId="6B542A0C" w14:textId="77777777" w:rsidR="00A03747" w:rsidRPr="009D53DD" w:rsidRDefault="00A03747" w:rsidP="00A03747">
      <w:pPr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11.</w:t>
      </w:r>
      <w:r w:rsidRPr="009D53DD">
        <w:rPr>
          <w:rFonts w:ascii="Open Sans" w:hAnsi="Open Sans" w:cs="Open Sans"/>
          <w:sz w:val="20"/>
          <w:szCs w:val="20"/>
        </w:rPr>
        <w:tab/>
        <w:t xml:space="preserve">The ability to work flexibly with a variety of individuals and organisations and to earn and maintain the trust of those people with whom the organisation works. </w:t>
      </w:r>
    </w:p>
    <w:p w14:paraId="16DDF2EA" w14:textId="77777777" w:rsidR="00A03747" w:rsidRPr="009D53DD" w:rsidRDefault="00A03747" w:rsidP="00A03747">
      <w:pPr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12.</w:t>
      </w:r>
      <w:r w:rsidRPr="009D53DD">
        <w:rPr>
          <w:rFonts w:ascii="Open Sans" w:hAnsi="Open Sans" w:cs="Open Sans"/>
          <w:sz w:val="20"/>
          <w:szCs w:val="20"/>
        </w:rPr>
        <w:tab/>
        <w:t xml:space="preserve">The ability to give and receive feedback objectively and sensitively and a willingness to challenge constructively. </w:t>
      </w:r>
    </w:p>
    <w:p w14:paraId="5BBCCBDB" w14:textId="77777777" w:rsidR="00A03747" w:rsidRPr="009D53DD" w:rsidRDefault="00A03747" w:rsidP="00A03747">
      <w:pPr>
        <w:tabs>
          <w:tab w:val="left" w:pos="284"/>
        </w:tabs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13.</w:t>
      </w:r>
      <w:r w:rsidRPr="009D53DD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9D53DD">
        <w:rPr>
          <w:rFonts w:ascii="Open Sans" w:hAnsi="Open Sans" w:cs="Open Sans"/>
          <w:sz w:val="20"/>
          <w:szCs w:val="20"/>
        </w:rPr>
        <w:t xml:space="preserve">A flexible approach and the ability to work as part of a small </w:t>
      </w:r>
      <w:r>
        <w:rPr>
          <w:rFonts w:ascii="Open Sans" w:hAnsi="Open Sans" w:cs="Open Sans"/>
          <w:sz w:val="20"/>
          <w:szCs w:val="20"/>
        </w:rPr>
        <w:t xml:space="preserve">County-wide </w:t>
      </w:r>
      <w:r w:rsidRPr="009D53DD">
        <w:rPr>
          <w:rFonts w:ascii="Open Sans" w:hAnsi="Open Sans" w:cs="Open Sans"/>
          <w:sz w:val="20"/>
          <w:szCs w:val="20"/>
        </w:rPr>
        <w:t xml:space="preserve">team. </w:t>
      </w:r>
    </w:p>
    <w:p w14:paraId="74E56A05" w14:textId="77777777" w:rsidR="00A03747" w:rsidRPr="009D53DD" w:rsidRDefault="00A03747" w:rsidP="00A03747">
      <w:pPr>
        <w:tabs>
          <w:tab w:val="left" w:pos="284"/>
          <w:tab w:val="left" w:pos="851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14.</w:t>
      </w:r>
      <w:r w:rsidRPr="009D53DD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9D53DD">
        <w:rPr>
          <w:rFonts w:ascii="Open Sans" w:hAnsi="Open Sans" w:cs="Open Sans"/>
          <w:sz w:val="20"/>
          <w:szCs w:val="20"/>
        </w:rPr>
        <w:t xml:space="preserve">A commitment to continuing professional development including a willingness to develop knowledge and skills. </w:t>
      </w:r>
    </w:p>
    <w:p w14:paraId="20213D60" w14:textId="77777777" w:rsidR="00A03747" w:rsidRDefault="00A03747" w:rsidP="00A03747">
      <w:pPr>
        <w:tabs>
          <w:tab w:val="left" w:pos="1134"/>
        </w:tabs>
        <w:ind w:left="720" w:hanging="720"/>
        <w:rPr>
          <w:rFonts w:ascii="Open Sans" w:hAnsi="Open Sans" w:cs="Open Sans"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15.</w:t>
      </w:r>
      <w:r w:rsidRPr="009D53DD">
        <w:rPr>
          <w:rFonts w:ascii="Open Sans" w:hAnsi="Open Sans" w:cs="Open Sans"/>
          <w:sz w:val="20"/>
          <w:szCs w:val="20"/>
        </w:rPr>
        <w:tab/>
        <w:t xml:space="preserve">Good ICT skills and the ability to ensure the best use of IT systems and packages in the provision of advice services. </w:t>
      </w:r>
    </w:p>
    <w:p w14:paraId="12D5850D" w14:textId="5090206D" w:rsidR="007D7D0C" w:rsidRDefault="00A03747" w:rsidP="00A65B96">
      <w:pPr>
        <w:ind w:left="720" w:hanging="720"/>
        <w:rPr>
          <w:rFonts w:ascii="Open Sans" w:hAnsi="Open Sans" w:cs="Open Sans"/>
          <w:b/>
          <w:bCs/>
          <w:sz w:val="20"/>
          <w:szCs w:val="20"/>
        </w:rPr>
      </w:pPr>
      <w:r w:rsidRPr="009D53DD">
        <w:rPr>
          <w:rFonts w:ascii="Open Sans" w:hAnsi="Open Sans" w:cs="Open Sans"/>
          <w:sz w:val="20"/>
          <w:szCs w:val="20"/>
        </w:rPr>
        <w:t>16.</w:t>
      </w:r>
      <w:r w:rsidRPr="009D53DD">
        <w:rPr>
          <w:rFonts w:ascii="Open Sans" w:hAnsi="Open Sans" w:cs="Open Sans"/>
          <w:sz w:val="20"/>
          <w:szCs w:val="20"/>
        </w:rPr>
        <w:tab/>
        <w:t>The regular use of a car for work purposes including outreach and home</w:t>
      </w:r>
      <w:r>
        <w:rPr>
          <w:rFonts w:ascii="Open Sans" w:hAnsi="Open Sans" w:cs="Open Sans"/>
          <w:sz w:val="20"/>
          <w:szCs w:val="20"/>
        </w:rPr>
        <w:t>-</w:t>
      </w:r>
      <w:r w:rsidRPr="009D53DD">
        <w:rPr>
          <w:rFonts w:ascii="Open Sans" w:hAnsi="Open Sans" w:cs="Open Sans"/>
          <w:sz w:val="20"/>
          <w:szCs w:val="20"/>
        </w:rPr>
        <w:t>visiting</w:t>
      </w:r>
      <w:r>
        <w:rPr>
          <w:rFonts w:ascii="Open Sans" w:hAnsi="Open Sans" w:cs="Open Sans"/>
          <w:sz w:val="20"/>
          <w:szCs w:val="20"/>
        </w:rPr>
        <w:t xml:space="preserve"> or otherwise able to meet the mobility requirements of the role. </w:t>
      </w:r>
    </w:p>
    <w:p w14:paraId="3714C13A" w14:textId="77777777" w:rsidR="00A03747" w:rsidRDefault="00A03747" w:rsidP="007D7D0C">
      <w:pPr>
        <w:tabs>
          <w:tab w:val="left" w:pos="1134"/>
        </w:tabs>
        <w:rPr>
          <w:rFonts w:ascii="Open Sans" w:hAnsi="Open Sans" w:cs="Open Sans"/>
          <w:b/>
          <w:bCs/>
          <w:sz w:val="20"/>
          <w:szCs w:val="20"/>
        </w:rPr>
      </w:pPr>
    </w:p>
    <w:sectPr w:rsidR="00A0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491"/>
    <w:multiLevelType w:val="hybridMultilevel"/>
    <w:tmpl w:val="E178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46"/>
    <w:multiLevelType w:val="hybridMultilevel"/>
    <w:tmpl w:val="5EC4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607"/>
    <w:multiLevelType w:val="hybridMultilevel"/>
    <w:tmpl w:val="23B6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0DBD"/>
    <w:multiLevelType w:val="hybridMultilevel"/>
    <w:tmpl w:val="77B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53C"/>
    <w:multiLevelType w:val="hybridMultilevel"/>
    <w:tmpl w:val="E8CC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97256">
    <w:abstractNumId w:val="4"/>
  </w:num>
  <w:num w:numId="2" w16cid:durableId="1987077838">
    <w:abstractNumId w:val="3"/>
  </w:num>
  <w:num w:numId="3" w16cid:durableId="302395341">
    <w:abstractNumId w:val="0"/>
  </w:num>
  <w:num w:numId="4" w16cid:durableId="2142529907">
    <w:abstractNumId w:val="1"/>
  </w:num>
  <w:num w:numId="5" w16cid:durableId="70899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4F"/>
    <w:rsid w:val="00032C08"/>
    <w:rsid w:val="00063CFB"/>
    <w:rsid w:val="0016611C"/>
    <w:rsid w:val="001948D4"/>
    <w:rsid w:val="002310D2"/>
    <w:rsid w:val="002A7A81"/>
    <w:rsid w:val="00522FB7"/>
    <w:rsid w:val="006A7562"/>
    <w:rsid w:val="007D7D0C"/>
    <w:rsid w:val="008062FB"/>
    <w:rsid w:val="008A148F"/>
    <w:rsid w:val="008C71F3"/>
    <w:rsid w:val="008D04D4"/>
    <w:rsid w:val="008D584F"/>
    <w:rsid w:val="00962F16"/>
    <w:rsid w:val="0097050C"/>
    <w:rsid w:val="009C3328"/>
    <w:rsid w:val="009D53DD"/>
    <w:rsid w:val="00A03747"/>
    <w:rsid w:val="00A65B96"/>
    <w:rsid w:val="00AA6E99"/>
    <w:rsid w:val="00C705DC"/>
    <w:rsid w:val="00D23BB8"/>
    <w:rsid w:val="00D8499B"/>
    <w:rsid w:val="00E02CAC"/>
    <w:rsid w:val="00E4030B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F3B0"/>
  <w15:chartTrackingRefBased/>
  <w15:docId w15:val="{76C57F62-1841-415A-BC90-2FECDAF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8F"/>
    <w:pPr>
      <w:ind w:left="720"/>
      <w:contextualSpacing/>
    </w:pPr>
  </w:style>
  <w:style w:type="table" w:styleId="TableGrid">
    <w:name w:val="Table Grid"/>
    <w:basedOn w:val="TableNormal"/>
    <w:uiPriority w:val="39"/>
    <w:rsid w:val="002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uttlesfordc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lord</dc:creator>
  <cp:keywords/>
  <dc:description/>
  <cp:lastModifiedBy>Joanna Hancock</cp:lastModifiedBy>
  <cp:revision>2</cp:revision>
  <dcterms:created xsi:type="dcterms:W3CDTF">2022-07-25T08:16:00Z</dcterms:created>
  <dcterms:modified xsi:type="dcterms:W3CDTF">2022-07-25T08:16:00Z</dcterms:modified>
</cp:coreProperties>
</file>